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La scaleup española especializada en la gestión integral y asesoramiento de viajes de negocios</w:t>
      </w:r>
    </w:p>
    <w:p w:rsidR="00000000" w:rsidDel="00000000" w:rsidP="00000000" w:rsidRDefault="00000000" w:rsidRPr="00000000" w14:paraId="00000002">
      <w:pPr>
        <w:jc w:val="center"/>
        <w:rPr>
          <w:i w:val="1"/>
          <w:sz w:val="24"/>
          <w:szCs w:val="24"/>
        </w:rPr>
      </w:pPr>
      <w:r w:rsidDel="00000000" w:rsidR="00000000" w:rsidRPr="00000000">
        <w:rPr>
          <w:rtl w:val="0"/>
        </w:rPr>
      </w:r>
    </w:p>
    <w:p w:rsidR="00000000" w:rsidDel="00000000" w:rsidP="00000000" w:rsidRDefault="00000000" w:rsidRPr="00000000" w14:paraId="00000003">
      <w:pPr>
        <w:jc w:val="center"/>
        <w:rPr>
          <w:b w:val="1"/>
          <w:sz w:val="40"/>
          <w:szCs w:val="40"/>
        </w:rPr>
      </w:pPr>
      <w:r w:rsidDel="00000000" w:rsidR="00000000" w:rsidRPr="00000000">
        <w:rPr>
          <w:rtl w:val="0"/>
        </w:rPr>
      </w:r>
    </w:p>
    <w:p w:rsidR="00000000" w:rsidDel="00000000" w:rsidP="00000000" w:rsidRDefault="00000000" w:rsidRPr="00000000" w14:paraId="00000004">
      <w:pPr>
        <w:jc w:val="center"/>
        <w:rPr>
          <w:b w:val="1"/>
          <w:sz w:val="40"/>
          <w:szCs w:val="40"/>
        </w:rPr>
      </w:pPr>
      <w:r w:rsidDel="00000000" w:rsidR="00000000" w:rsidRPr="00000000">
        <w:rPr>
          <w:b w:val="1"/>
          <w:sz w:val="40"/>
          <w:szCs w:val="40"/>
          <w:rtl w:val="0"/>
        </w:rPr>
        <w:t xml:space="preserve">Consultia Business Travel se prepara para levantar la siguiente ronda de inversión Serie A </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ind w:left="360" w:hanging="360"/>
        <w:jc w:val="both"/>
        <w:rPr>
          <w:b w:val="1"/>
          <w:i w:val="1"/>
          <w:color w:val="000000"/>
        </w:rPr>
      </w:pPr>
      <w:r w:rsidDel="00000000" w:rsidR="00000000" w:rsidRPr="00000000">
        <w:rPr>
          <w:b w:val="1"/>
          <w:rtl w:val="0"/>
        </w:rPr>
        <w:t xml:space="preserve">Hace un año cerró una ronda de financiación de 1,2 millones de euros con la que c</w:t>
      </w:r>
      <w:r w:rsidDel="00000000" w:rsidR="00000000" w:rsidRPr="00000000">
        <w:rPr>
          <w:b w:val="1"/>
          <w:color w:val="000000"/>
          <w:rtl w:val="0"/>
        </w:rPr>
        <w:t xml:space="preserve">onsiguió fact</w:t>
      </w:r>
      <w:r w:rsidDel="00000000" w:rsidR="00000000" w:rsidRPr="00000000">
        <w:rPr>
          <w:b w:val="1"/>
          <w:rtl w:val="0"/>
        </w:rPr>
        <w:t xml:space="preserve">urar el año pasado</w:t>
      </w:r>
      <w:r w:rsidDel="00000000" w:rsidR="00000000" w:rsidRPr="00000000">
        <w:rPr>
          <w:b w:val="1"/>
          <w:color w:val="000000"/>
          <w:rtl w:val="0"/>
        </w:rPr>
        <w:t xml:space="preserve"> 20 millones de euros, lo que supone un incremento de más del 120% respecto a 2021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360" w:firstLine="0"/>
        <w:jc w:val="both"/>
        <w:rPr>
          <w:b w:val="1"/>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360" w:hanging="360"/>
        <w:jc w:val="both"/>
        <w:rPr>
          <w:b w:val="1"/>
          <w:i w:val="1"/>
          <w:color w:val="000000"/>
        </w:rPr>
      </w:pPr>
      <w:r w:rsidDel="00000000" w:rsidR="00000000" w:rsidRPr="00000000">
        <w:rPr>
          <w:b w:val="1"/>
          <w:rtl w:val="0"/>
        </w:rPr>
        <w:t xml:space="preserve">Además la compañía reforzó su plantilla en un 30%, lo que les ha permitido gestionar a través de su </w:t>
      </w:r>
      <w:r w:rsidDel="00000000" w:rsidR="00000000" w:rsidRPr="00000000">
        <w:rPr>
          <w:b w:val="1"/>
          <w:color w:val="000000"/>
          <w:rtl w:val="0"/>
        </w:rPr>
        <w:t xml:space="preserve">plataforma tecnológica Destinux, 27.695 operaciones, frente a las 16.295 de 2021, lo que se traduce en un 75% de incremento en pedidos </w:t>
      </w:r>
      <w:r w:rsidDel="00000000" w:rsidR="00000000" w:rsidRPr="00000000">
        <w:rPr>
          <w:rtl w:val="0"/>
        </w:rPr>
      </w:r>
    </w:p>
    <w:p w:rsidR="00000000" w:rsidDel="00000000" w:rsidP="00000000" w:rsidRDefault="00000000" w:rsidRPr="00000000" w14:paraId="0000000A">
      <w:pPr>
        <w:jc w:val="both"/>
        <w:rPr/>
      </w:pPr>
      <w:bookmarkStart w:colFirst="0" w:colLast="0" w:name="_heading=h.30j0zll" w:id="0"/>
      <w:bookmarkEnd w:id="0"/>
      <w:r w:rsidDel="00000000" w:rsidR="00000000" w:rsidRPr="00000000">
        <w:rPr>
          <w:rtl w:val="0"/>
        </w:rPr>
      </w:r>
    </w:p>
    <w:p w:rsidR="00000000" w:rsidDel="00000000" w:rsidP="00000000" w:rsidRDefault="00000000" w:rsidRPr="00000000" w14:paraId="0000000B">
      <w:pPr>
        <w:jc w:val="both"/>
        <w:rPr/>
      </w:pPr>
      <w:bookmarkStart w:colFirst="0" w:colLast="0" w:name="_heading=h.ba97dc69rawr" w:id="1"/>
      <w:bookmarkEnd w:id="1"/>
      <w:r w:rsidDel="00000000" w:rsidR="00000000" w:rsidRPr="00000000">
        <w:rPr>
          <w:rtl w:val="0"/>
        </w:rPr>
      </w:r>
    </w:p>
    <w:p w:rsidR="00000000" w:rsidDel="00000000" w:rsidP="00000000" w:rsidRDefault="00000000" w:rsidRPr="00000000" w14:paraId="0000000C">
      <w:pPr>
        <w:jc w:val="both"/>
        <w:rPr/>
      </w:pPr>
      <w:r w:rsidDel="00000000" w:rsidR="00000000" w:rsidRPr="00000000">
        <w:rPr>
          <w:b w:val="1"/>
          <w:rtl w:val="0"/>
        </w:rPr>
        <w:t xml:space="preserve">Madrid, 7 de febrero de 2023. </w:t>
      </w:r>
      <w:hyperlink r:id="rId7">
        <w:r w:rsidDel="00000000" w:rsidR="00000000" w:rsidRPr="00000000">
          <w:rPr>
            <w:b w:val="1"/>
            <w:color w:val="0000ff"/>
            <w:u w:val="single"/>
            <w:rtl w:val="0"/>
          </w:rPr>
          <w:t xml:space="preserve">Consultia Business Travel</w:t>
        </w:r>
      </w:hyperlink>
      <w:r w:rsidDel="00000000" w:rsidR="00000000" w:rsidRPr="00000000">
        <w:rPr>
          <w:rtl w:val="0"/>
        </w:rPr>
        <w:t xml:space="preserve">, la startup española en fase Growth Stage especializada en la gestión integral de viajes de negocios, inicia este año preparándose para </w:t>
      </w:r>
      <w:r w:rsidDel="00000000" w:rsidR="00000000" w:rsidRPr="00000000">
        <w:rPr>
          <w:b w:val="1"/>
          <w:rtl w:val="0"/>
        </w:rPr>
        <w:t xml:space="preserve">levantar la siguiente ronda de inversión de Serie A</w:t>
      </w:r>
      <w:r w:rsidDel="00000000" w:rsidR="00000000" w:rsidRPr="00000000">
        <w:rPr>
          <w:rtl w:val="0"/>
        </w:rPr>
        <w:t xml:space="preserve">.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Hace un año, la compañía tecnológica cerró la ronda de inversión pre-serie A en la que levantó 1,2 millones de euros. Esta inyección de capital, gestionada por Speedout, ha permitido a la scaleup española cerrar el último ejercicio con unos excelentes resultados. En concreto, en</w:t>
      </w:r>
      <w:r w:rsidDel="00000000" w:rsidR="00000000" w:rsidRPr="00000000">
        <w:rPr>
          <w:b w:val="1"/>
          <w:rtl w:val="0"/>
        </w:rPr>
        <w:t xml:space="preserve"> 2022 consiguió una facturación de 20 millones de euros en España y Portugal, lo que supuso un crecimiento de más de 120%</w:t>
      </w:r>
      <w:r w:rsidDel="00000000" w:rsidR="00000000" w:rsidRPr="00000000">
        <w:rPr>
          <w:rtl w:val="0"/>
        </w:rPr>
        <w:t xml:space="preserve"> respecto a 2021, año en el que facturó 9 millones.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La financiación que recibió en 2022 ha permitido a la compañía lanzar comercialmente Destinux en España y en Portugal, ampliar las funcionalidades de Destinux en sostenibilidad (Destinux Green)  y en planificación estratégica para la dirección (travel management dashboard), para lo que ha reforzado su </w:t>
      </w:r>
      <w:r w:rsidDel="00000000" w:rsidR="00000000" w:rsidRPr="00000000">
        <w:rPr>
          <w:b w:val="1"/>
          <w:rtl w:val="0"/>
        </w:rPr>
        <w:t xml:space="preserve">plantilla en un 30%, con el resultado de </w:t>
      </w:r>
      <w:r w:rsidDel="00000000" w:rsidR="00000000" w:rsidRPr="00000000">
        <w:rPr>
          <w:rtl w:val="0"/>
        </w:rPr>
        <w:t xml:space="preserve">un crecimiento en la facturación de un 120% en conjunto y un 500% en Portugal</w:t>
      </w:r>
      <w:r w:rsidDel="00000000" w:rsidR="00000000" w:rsidRPr="00000000">
        <w:rPr>
          <w:b w:val="1"/>
          <w:rtl w:val="0"/>
        </w:rPr>
        <w:t xml:space="preserve"> y un aumento  en la gestión del número de reservas, pasando a </w:t>
      </w:r>
      <w:r w:rsidDel="00000000" w:rsidR="00000000" w:rsidRPr="00000000">
        <w:rPr>
          <w:b w:val="1"/>
          <w:color w:val="000000"/>
          <w:rtl w:val="0"/>
        </w:rPr>
        <w:t xml:space="preserve">27.695 operaciones</w:t>
      </w:r>
      <w:r w:rsidDel="00000000" w:rsidR="00000000" w:rsidRPr="00000000">
        <w:rPr>
          <w:rtl w:val="0"/>
        </w:rPr>
        <w:t xml:space="preserve">, frente a las </w:t>
      </w:r>
      <w:r w:rsidDel="00000000" w:rsidR="00000000" w:rsidRPr="00000000">
        <w:rPr>
          <w:b w:val="1"/>
          <w:color w:val="000000"/>
          <w:rtl w:val="0"/>
        </w:rPr>
        <w:t xml:space="preserve">16.295</w:t>
      </w:r>
      <w:r w:rsidDel="00000000" w:rsidR="00000000" w:rsidRPr="00000000">
        <w:rPr>
          <w:rtl w:val="0"/>
        </w:rPr>
        <w:t xml:space="preserve"> de 2021, lo que se traduce en </w:t>
      </w:r>
      <w:r w:rsidDel="00000000" w:rsidR="00000000" w:rsidRPr="00000000">
        <w:rPr>
          <w:b w:val="1"/>
          <w:rtl w:val="0"/>
        </w:rPr>
        <w:t xml:space="preserve">un 75% de incremento en pedidos</w:t>
      </w:r>
      <w:r w:rsidDel="00000000" w:rsidR="00000000" w:rsidRPr="00000000">
        <w:rPr>
          <w:rtl w:val="0"/>
        </w:rPr>
        <w:t xml:space="preserve">.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Según </w:t>
      </w:r>
      <w:r w:rsidDel="00000000" w:rsidR="00000000" w:rsidRPr="00000000">
        <w:rPr>
          <w:b w:val="1"/>
          <w:rtl w:val="0"/>
        </w:rPr>
        <w:t xml:space="preserve">Carlos Martínez, CEO de Consultia Business Travel</w:t>
      </w:r>
      <w:r w:rsidDel="00000000" w:rsidR="00000000" w:rsidRPr="00000000">
        <w:rPr>
          <w:rtl w:val="0"/>
        </w:rPr>
        <w:t xml:space="preserve">, “las empresas necesitan acelerar la digitalización de sus compañías para ganar en eficiencia y los viajeros necesitan sentirse seguros y atendidos cuando viajan; por lo que implementar un servicio integral en la gestión de los viajes de empresa, nuestra plataforma tecnológica Destinux, que digitaliza la  gestión integral de sus viajes y gastos aportando eficiencia y productividad; y el trato humano y personalizado que requiere el viajero”.</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Una vez cubiertos los objetivos marcados en la ronda anterior, la compañía va a por una nueva ronda de inversión (Serie A). </w:t>
      </w:r>
    </w:p>
    <w:p w:rsidR="00000000" w:rsidDel="00000000" w:rsidP="00000000" w:rsidRDefault="00000000" w:rsidRPr="00000000" w14:paraId="00000015">
      <w:pPr>
        <w:jc w:val="both"/>
        <w:rPr/>
      </w:pPr>
      <w:bookmarkStart w:colFirst="0" w:colLast="0" w:name="_heading=h.1fob9te" w:id="2"/>
      <w:bookmarkEnd w:id="2"/>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“La nueva inyección de capital que tenemos previsto levantar este año la destinaremos a crecer en España y Portugal y expandirnos a nuevos países”, asegura el CEO de la compañía.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ind w:right="-291"/>
        <w:jc w:val="both"/>
        <w:rPr>
          <w:b w:val="1"/>
          <w:color w:val="000000"/>
          <w:sz w:val="18"/>
          <w:szCs w:val="18"/>
          <w:u w:val="single"/>
        </w:rPr>
      </w:pPr>
      <w:bookmarkStart w:colFirst="0" w:colLast="0" w:name="_heading=h.gjdgxs" w:id="3"/>
      <w:bookmarkEnd w:id="3"/>
      <w:r w:rsidDel="00000000" w:rsidR="00000000" w:rsidRPr="00000000">
        <w:rPr>
          <w:rtl w:val="0"/>
        </w:rPr>
      </w:r>
    </w:p>
    <w:p w:rsidR="00000000" w:rsidDel="00000000" w:rsidP="00000000" w:rsidRDefault="00000000" w:rsidRPr="00000000" w14:paraId="00000019">
      <w:pPr>
        <w:ind w:right="-291"/>
        <w:jc w:val="both"/>
        <w:rPr>
          <w:b w:val="1"/>
          <w:color w:val="000000"/>
          <w:sz w:val="18"/>
          <w:szCs w:val="18"/>
          <w:u w:val="single"/>
        </w:rPr>
      </w:pPr>
      <w:r w:rsidDel="00000000" w:rsidR="00000000" w:rsidRPr="00000000">
        <w:rPr>
          <w:b w:val="1"/>
          <w:color w:val="000000"/>
          <w:sz w:val="18"/>
          <w:szCs w:val="18"/>
          <w:u w:val="single"/>
          <w:rtl w:val="0"/>
        </w:rPr>
        <w:t xml:space="preserve">Sobre Consultia Business Travel</w:t>
      </w:r>
    </w:p>
    <w:p w:rsidR="00000000" w:rsidDel="00000000" w:rsidP="00000000" w:rsidRDefault="00000000" w:rsidRPr="00000000" w14:paraId="0000001A">
      <w:pPr>
        <w:ind w:right="-291"/>
        <w:jc w:val="both"/>
        <w:rPr>
          <w:b w:val="1"/>
          <w:color w:val="000000"/>
          <w:sz w:val="18"/>
          <w:szCs w:val="18"/>
          <w:u w:val="single"/>
        </w:rPr>
      </w:pPr>
      <w:r w:rsidDel="00000000" w:rsidR="00000000" w:rsidRPr="00000000">
        <w:rPr>
          <w:rtl w:val="0"/>
        </w:rPr>
      </w:r>
    </w:p>
    <w:p w:rsidR="00000000" w:rsidDel="00000000" w:rsidP="00000000" w:rsidRDefault="00000000" w:rsidRPr="00000000" w14:paraId="0000001B">
      <w:pPr>
        <w:ind w:right="-285"/>
        <w:jc w:val="both"/>
        <w:rPr>
          <w:b w:val="1"/>
          <w:sz w:val="18"/>
          <w:szCs w:val="18"/>
          <w:u w:val="single"/>
        </w:rPr>
      </w:pPr>
      <w:r w:rsidDel="00000000" w:rsidR="00000000" w:rsidRPr="00000000">
        <w:rPr>
          <w:rtl w:val="0"/>
        </w:rPr>
      </w:r>
    </w:p>
    <w:p w:rsidR="00000000" w:rsidDel="00000000" w:rsidP="00000000" w:rsidRDefault="00000000" w:rsidRPr="00000000" w14:paraId="0000001C">
      <w:pPr>
        <w:ind w:right="-291"/>
        <w:jc w:val="both"/>
        <w:rPr>
          <w:sz w:val="18"/>
          <w:szCs w:val="18"/>
        </w:rPr>
      </w:pPr>
      <w:r w:rsidDel="00000000" w:rsidR="00000000" w:rsidRPr="00000000">
        <w:rPr>
          <w:sz w:val="18"/>
          <w:szCs w:val="18"/>
          <w:rtl w:val="0"/>
        </w:rPr>
        <w:t xml:space="preserve">Consultia Business Travel® es una compañía española especialista en la gestión integral de los viajes de negocios (Travel Management Company). Gracias a Destinux®, su solución diferenciada basada en un software en la nube con un servicio de asesoramiento personalizado (Personal Travel Assistant), ofrece una solución integral para la gestión de los viajes de empresa. Además, de gestionar las necesidades de reuniones, incentivos, congresos y eventos (MICE) que la empresa necesite. </w:t>
      </w:r>
    </w:p>
    <w:p w:rsidR="00000000" w:rsidDel="00000000" w:rsidP="00000000" w:rsidRDefault="00000000" w:rsidRPr="00000000" w14:paraId="0000001D">
      <w:pPr>
        <w:ind w:right="-291"/>
        <w:jc w:val="both"/>
        <w:rPr>
          <w:sz w:val="18"/>
          <w:szCs w:val="18"/>
        </w:rPr>
      </w:pPr>
      <w:r w:rsidDel="00000000" w:rsidR="00000000" w:rsidRPr="00000000">
        <w:rPr>
          <w:rtl w:val="0"/>
        </w:rPr>
      </w:r>
    </w:p>
    <w:p w:rsidR="00000000" w:rsidDel="00000000" w:rsidP="00000000" w:rsidRDefault="00000000" w:rsidRPr="00000000" w14:paraId="0000001E">
      <w:pPr>
        <w:ind w:right="-291"/>
        <w:jc w:val="both"/>
        <w:rPr>
          <w:sz w:val="18"/>
          <w:szCs w:val="18"/>
        </w:rPr>
      </w:pPr>
      <w:r w:rsidDel="00000000" w:rsidR="00000000" w:rsidRPr="00000000">
        <w:rPr>
          <w:sz w:val="18"/>
          <w:szCs w:val="18"/>
          <w:rtl w:val="0"/>
        </w:rPr>
        <w:t xml:space="preserve">La compañía, de capital español y fundada en 2010, cuenta actualmente con sedes en España y Portugal. La startup en fase Growth Stage, ha integrado en su potente sistema de gestión cerca de 3 millones de hoteles, más de 600 compañías aéreas, 27 compañías de alquiler de coches distribuidas por todo el mundo y traslados privados en más de 160 países, RENFE, Iryo y taxis y VTC en más de 90 estados, con lo que consigue una conectividad online y eficiencia que destacan en el mercado del viaje de empresa.</w:t>
      </w:r>
    </w:p>
    <w:p w:rsidR="00000000" w:rsidDel="00000000" w:rsidP="00000000" w:rsidRDefault="00000000" w:rsidRPr="00000000" w14:paraId="0000001F">
      <w:pPr>
        <w:ind w:right="-285"/>
        <w:jc w:val="both"/>
        <w:rPr>
          <w:sz w:val="18"/>
          <w:szCs w:val="18"/>
        </w:rPr>
      </w:pPr>
      <w:r w:rsidDel="00000000" w:rsidR="00000000" w:rsidRPr="00000000">
        <w:rPr>
          <w:rtl w:val="0"/>
        </w:rPr>
      </w:r>
    </w:p>
    <w:p w:rsidR="00000000" w:rsidDel="00000000" w:rsidP="00000000" w:rsidRDefault="00000000" w:rsidRPr="00000000" w14:paraId="00000020">
      <w:pPr>
        <w:jc w:val="both"/>
        <w:rPr>
          <w:b w:val="1"/>
          <w:color w:val="000000"/>
          <w:sz w:val="18"/>
          <w:szCs w:val="18"/>
          <w:u w:val="single"/>
        </w:rPr>
      </w:pPr>
      <w:r w:rsidDel="00000000" w:rsidR="00000000" w:rsidRPr="00000000">
        <w:rPr>
          <w:b w:val="1"/>
          <w:color w:val="000000"/>
          <w:sz w:val="18"/>
          <w:szCs w:val="18"/>
          <w:u w:val="single"/>
          <w:rtl w:val="0"/>
        </w:rPr>
        <w:t xml:space="preserve">CONTACTO </w:t>
      </w:r>
    </w:p>
    <w:p w:rsidR="00000000" w:rsidDel="00000000" w:rsidP="00000000" w:rsidRDefault="00000000" w:rsidRPr="00000000" w14:paraId="00000021">
      <w:pPr>
        <w:jc w:val="both"/>
        <w:rPr>
          <w:sz w:val="18"/>
          <w:szCs w:val="18"/>
        </w:rPr>
      </w:pPr>
      <w:r w:rsidDel="00000000" w:rsidR="00000000" w:rsidRPr="00000000">
        <w:rPr>
          <w:sz w:val="18"/>
          <w:szCs w:val="18"/>
          <w:rtl w:val="0"/>
        </w:rPr>
        <w:t xml:space="preserve">Actitud de Comunicación </w:t>
      </w:r>
    </w:p>
    <w:p w:rsidR="00000000" w:rsidDel="00000000" w:rsidP="00000000" w:rsidRDefault="00000000" w:rsidRPr="00000000" w14:paraId="00000022">
      <w:pPr>
        <w:jc w:val="both"/>
        <w:rPr>
          <w:color w:val="0000ff"/>
          <w:sz w:val="18"/>
          <w:szCs w:val="18"/>
          <w:u w:val="single"/>
        </w:rPr>
      </w:pPr>
      <w:hyperlink r:id="rId8">
        <w:r w:rsidDel="00000000" w:rsidR="00000000" w:rsidRPr="00000000">
          <w:rPr>
            <w:color w:val="0000ff"/>
            <w:sz w:val="18"/>
            <w:szCs w:val="18"/>
            <w:u w:val="single"/>
            <w:rtl w:val="0"/>
          </w:rPr>
          <w:t xml:space="preserve">actitud@actitud.es</w:t>
        </w:r>
      </w:hyperlink>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23">
      <w:pPr>
        <w:jc w:val="both"/>
        <w:rPr>
          <w:sz w:val="18"/>
          <w:szCs w:val="18"/>
        </w:rPr>
      </w:pPr>
      <w:r w:rsidDel="00000000" w:rsidR="00000000" w:rsidRPr="00000000">
        <w:rPr>
          <w:sz w:val="18"/>
          <w:szCs w:val="18"/>
          <w:rtl w:val="0"/>
        </w:rPr>
        <w:t xml:space="preserve">Teléfono: 913022860</w:t>
      </w:r>
    </w:p>
    <w:p w:rsidR="00000000" w:rsidDel="00000000" w:rsidP="00000000" w:rsidRDefault="00000000" w:rsidRPr="00000000" w14:paraId="00000024">
      <w:pPr>
        <w:jc w:val="both"/>
        <w:rPr/>
      </w:pPr>
      <w:r w:rsidDel="00000000" w:rsidR="00000000" w:rsidRPr="00000000">
        <w:rPr>
          <w:rtl w:val="0"/>
        </w:rPr>
      </w:r>
    </w:p>
    <w:sectPr>
      <w:headerReference r:id="rId9" w:type="default"/>
      <w:pgSz w:h="16838" w:w="11906" w:orient="portrait"/>
      <w:pgMar w:bottom="1418" w:top="1985"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3815715</wp:posOffset>
          </wp:positionH>
          <wp:positionV relativeFrom="paragraph">
            <wp:posOffset>-259077</wp:posOffset>
          </wp:positionV>
          <wp:extent cx="2352675" cy="772160"/>
          <wp:effectExtent b="0" l="0" r="0" t="0"/>
          <wp:wrapSquare wrapText="bothSides" distB="0" distT="0" distL="114300" distR="114300"/>
          <wp:docPr descr="C:\Users\Actitud-pc1\Downloads\logo_consultia_RGB-scaled.jpg" id="4" name="image1.jpg"/>
          <a:graphic>
            <a:graphicData uri="http://schemas.openxmlformats.org/drawingml/2006/picture">
              <pic:pic>
                <pic:nvPicPr>
                  <pic:cNvPr descr="C:\Users\Actitud-pc1\Downloads\logo_consultia_RGB-scaled.jpg" id="0" name="image1.jpg"/>
                  <pic:cNvPicPr preferRelativeResize="0"/>
                </pic:nvPicPr>
                <pic:blipFill>
                  <a:blip r:embed="rId1"/>
                  <a:srcRect b="33750" l="14488" r="15017" t="33500"/>
                  <a:stretch>
                    <a:fillRect/>
                  </a:stretch>
                </pic:blipFill>
                <pic:spPr>
                  <a:xfrm>
                    <a:off x="0" y="0"/>
                    <a:ext cx="2352675" cy="7721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A3CF6"/>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character" w:styleId="Hipervnculo">
    <w:name w:val="Hyperlink"/>
    <w:uiPriority w:val="99"/>
    <w:unhideWhenUsed w:val="1"/>
    <w:rsid w:val="006D5669"/>
    <w:rPr>
      <w:color w:val="0000ff"/>
      <w:u w:val="single"/>
    </w:rPr>
  </w:style>
  <w:style w:type="paragraph" w:styleId="Encabezado">
    <w:name w:val="header"/>
    <w:basedOn w:val="Normal"/>
    <w:link w:val="EncabezadoCar"/>
    <w:uiPriority w:val="99"/>
    <w:unhideWhenUsed w:val="1"/>
    <w:rsid w:val="00FF5E45"/>
    <w:pPr>
      <w:tabs>
        <w:tab w:val="center" w:pos="4252"/>
        <w:tab w:val="right" w:pos="8504"/>
      </w:tabs>
    </w:pPr>
  </w:style>
  <w:style w:type="character" w:styleId="EncabezadoCar" w:customStyle="1">
    <w:name w:val="Encabezado Car"/>
    <w:basedOn w:val="Fuentedeprrafopredeter"/>
    <w:link w:val="Encabezado"/>
    <w:uiPriority w:val="99"/>
    <w:rsid w:val="00FF5E45"/>
    <w:rPr>
      <w:rFonts w:ascii="Calibri" w:cs="Calibri" w:hAnsi="Calibri"/>
    </w:rPr>
  </w:style>
  <w:style w:type="paragraph" w:styleId="Piedepgina">
    <w:name w:val="footer"/>
    <w:basedOn w:val="Normal"/>
    <w:link w:val="PiedepginaCar"/>
    <w:uiPriority w:val="99"/>
    <w:unhideWhenUsed w:val="1"/>
    <w:rsid w:val="00FF5E45"/>
    <w:pPr>
      <w:tabs>
        <w:tab w:val="center" w:pos="4252"/>
        <w:tab w:val="right" w:pos="8504"/>
      </w:tabs>
    </w:pPr>
  </w:style>
  <w:style w:type="character" w:styleId="PiedepginaCar" w:customStyle="1">
    <w:name w:val="Pie de página Car"/>
    <w:basedOn w:val="Fuentedeprrafopredeter"/>
    <w:link w:val="Piedepgina"/>
    <w:uiPriority w:val="99"/>
    <w:rsid w:val="00FF5E45"/>
    <w:rPr>
      <w:rFonts w:ascii="Calibri" w:cs="Calibri" w:hAnsi="Calibri"/>
    </w:rPr>
  </w:style>
  <w:style w:type="character" w:styleId="Hipervnculovisitado">
    <w:name w:val="FollowedHyperlink"/>
    <w:basedOn w:val="Fuentedeprrafopredeter"/>
    <w:uiPriority w:val="99"/>
    <w:semiHidden w:val="1"/>
    <w:unhideWhenUsed w:val="1"/>
    <w:rsid w:val="00FF5E45"/>
    <w:rPr>
      <w:color w:val="954f72" w:themeColor="followedHyperlink"/>
      <w:u w:val="single"/>
    </w:rPr>
  </w:style>
  <w:style w:type="paragraph" w:styleId="Textodeglobo">
    <w:name w:val="Balloon Text"/>
    <w:basedOn w:val="Normal"/>
    <w:link w:val="TextodegloboCar"/>
    <w:uiPriority w:val="99"/>
    <w:semiHidden w:val="1"/>
    <w:unhideWhenUsed w:val="1"/>
    <w:rsid w:val="004A22B6"/>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4A22B6"/>
    <w:rPr>
      <w:rFonts w:ascii="Tahoma" w:cs="Tahoma" w:hAnsi="Tahoma"/>
      <w:sz w:val="16"/>
      <w:szCs w:val="16"/>
    </w:rPr>
  </w:style>
  <w:style w:type="paragraph" w:styleId="Prrafodelista">
    <w:name w:val="List Paragraph"/>
    <w:basedOn w:val="Normal"/>
    <w:uiPriority w:val="34"/>
    <w:qFormat w:val="1"/>
    <w:rsid w:val="00846533"/>
    <w:pPr>
      <w:ind w:left="720"/>
    </w:pPr>
    <w:rPr>
      <w:rFonts w:asciiTheme="minorHAnsi" w:cstheme="minorBidi" w:hAnsiTheme="minorHAnsi"/>
    </w:rPr>
  </w:style>
  <w:style w:type="paragraph" w:styleId="Sinespaciado">
    <w:name w:val="No Spacing"/>
    <w:uiPriority w:val="1"/>
    <w:qFormat w:val="1"/>
    <w:rsid w:val="00D47687"/>
  </w:style>
  <w:style w:type="character" w:styleId="Refdecomentario">
    <w:name w:val="annotation reference"/>
    <w:basedOn w:val="Fuentedeprrafopredeter"/>
    <w:uiPriority w:val="99"/>
    <w:semiHidden w:val="1"/>
    <w:unhideWhenUsed w:val="1"/>
    <w:rsid w:val="0018207A"/>
    <w:rPr>
      <w:sz w:val="16"/>
      <w:szCs w:val="16"/>
    </w:rPr>
  </w:style>
  <w:style w:type="paragraph" w:styleId="Textocomentario">
    <w:name w:val="annotation text"/>
    <w:basedOn w:val="Normal"/>
    <w:link w:val="TextocomentarioCar"/>
    <w:uiPriority w:val="99"/>
    <w:unhideWhenUsed w:val="1"/>
    <w:rsid w:val="0018207A"/>
    <w:rPr>
      <w:sz w:val="20"/>
      <w:szCs w:val="20"/>
    </w:rPr>
  </w:style>
  <w:style w:type="character" w:styleId="TextocomentarioCar" w:customStyle="1">
    <w:name w:val="Texto comentario Car"/>
    <w:basedOn w:val="Fuentedeprrafopredeter"/>
    <w:link w:val="Textocomentario"/>
    <w:uiPriority w:val="99"/>
    <w:rsid w:val="0018207A"/>
    <w:rPr>
      <w:rFonts w:ascii="Calibri" w:cs="Calibri" w:hAnsi="Calibri"/>
      <w:sz w:val="20"/>
      <w:szCs w:val="20"/>
    </w:rPr>
  </w:style>
  <w:style w:type="paragraph" w:styleId="Asuntodelcomentario">
    <w:name w:val="annotation subject"/>
    <w:basedOn w:val="Textocomentario"/>
    <w:next w:val="Textocomentario"/>
    <w:link w:val="AsuntodelcomentarioCar"/>
    <w:uiPriority w:val="99"/>
    <w:semiHidden w:val="1"/>
    <w:unhideWhenUsed w:val="1"/>
    <w:rsid w:val="0018207A"/>
    <w:rPr>
      <w:b w:val="1"/>
      <w:bCs w:val="1"/>
    </w:rPr>
  </w:style>
  <w:style w:type="character" w:styleId="AsuntodelcomentarioCar" w:customStyle="1">
    <w:name w:val="Asunto del comentario Car"/>
    <w:basedOn w:val="TextocomentarioCar"/>
    <w:link w:val="Asuntodelcomentario"/>
    <w:uiPriority w:val="99"/>
    <w:semiHidden w:val="1"/>
    <w:rsid w:val="0018207A"/>
    <w:rPr>
      <w:rFonts w:ascii="Calibri" w:cs="Calibri" w:hAnsi="Calibri"/>
      <w:b w:val="1"/>
      <w:bCs w:val="1"/>
      <w:sz w:val="20"/>
      <w:szCs w:val="20"/>
    </w:rPr>
  </w:style>
  <w:style w:type="paragraph" w:styleId="Textosinformato">
    <w:name w:val="Plain Text"/>
    <w:basedOn w:val="Normal"/>
    <w:link w:val="TextosinformatoCar"/>
    <w:uiPriority w:val="99"/>
    <w:semiHidden w:val="1"/>
    <w:unhideWhenUsed w:val="1"/>
    <w:rsid w:val="0055762E"/>
    <w:rPr>
      <w:rFonts w:cstheme="minorBidi"/>
      <w:szCs w:val="21"/>
      <w:lang w:val="en-US"/>
    </w:rPr>
  </w:style>
  <w:style w:type="character" w:styleId="TextosinformatoCar" w:customStyle="1">
    <w:name w:val="Texto sin formato Car"/>
    <w:basedOn w:val="Fuentedeprrafopredeter"/>
    <w:link w:val="Textosinformato"/>
    <w:uiPriority w:val="99"/>
    <w:semiHidden w:val="1"/>
    <w:rsid w:val="0055762E"/>
    <w:rPr>
      <w:rFonts w:ascii="Calibri" w:hAnsi="Calibri"/>
      <w:szCs w:val="21"/>
      <w:lang w:val="en-US"/>
    </w:rPr>
  </w:style>
  <w:style w:type="paragraph" w:styleId="Revisin">
    <w:name w:val="Revision"/>
    <w:hidden w:val="1"/>
    <w:uiPriority w:val="99"/>
    <w:semiHidden w:val="1"/>
    <w:rsid w:val="00F47DAF"/>
  </w:style>
  <w:style w:type="character" w:styleId="apple-converted-space" w:customStyle="1">
    <w:name w:val="apple-converted-space"/>
    <w:basedOn w:val="Fuentedeprrafopredeter"/>
    <w:rsid w:val="008C355B"/>
  </w:style>
  <w:style w:type="paragraph" w:styleId="NormalWeb">
    <w:name w:val="Normal (Web)"/>
    <w:basedOn w:val="Normal"/>
    <w:uiPriority w:val="99"/>
    <w:unhideWhenUsed w:val="1"/>
    <w:rsid w:val="000D13AD"/>
    <w:pPr>
      <w:spacing w:after="100" w:afterAutospacing="1" w:before="100" w:beforeAutospacing="1"/>
    </w:pPr>
    <w:rPr>
      <w:rFonts w:ascii="Times New Roman" w:cs="Times New Roman" w:eastAsia="Times New Roman" w:hAnsi="Times New Roman"/>
      <w:sz w:val="24"/>
      <w:szCs w:val="24"/>
      <w:lang w:eastAsia="es-ES_tradnl"/>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onsultiatravel.es/" TargetMode="External"/><Relationship Id="rId8" Type="http://schemas.openxmlformats.org/officeDocument/2006/relationships/hyperlink" Target="mailto:actitud@actitud.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wbZUJFAy5LLnQBVyoQ6KQ/T/5Q==">AMUW2mWxGZi3ogC6cokTNKdeeDLCCoM2GCQdXx65adk+Z8PDvfQdadiSGzo7ut6sFsTV2WwB7yHJIwiyJaEYABcl4kGBQRjhEJDZM2Zs2ICghJ0tzZ1WPnZaT/Cq4D5oo/cOT2U2AOVbuTgvbXBIF1/4M21psqa9717PGKInNsCk5vsi8exzDBE=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2023-02-03T11:12:00Z</dcterms:created>
  <dc:creator>actitud3</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0x010100F216AFD8C49A964A82E6063D63172A8A</vt:lpwstr>
  </property>
</Properties>
</file>