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40" w:lineRule="auto"/>
        <w:ind w:right="-267"/>
        <w:jc w:val="center"/>
        <w:rPr>
          <w:b w:val="1"/>
          <w:sz w:val="40"/>
          <w:szCs w:val="40"/>
        </w:rPr>
      </w:pPr>
      <w:r w:rsidDel="00000000" w:rsidR="00000000" w:rsidRPr="00000000">
        <w:rPr>
          <w:rtl w:val="0"/>
        </w:rPr>
      </w:r>
    </w:p>
    <w:p w:rsidR="00000000" w:rsidDel="00000000" w:rsidP="00000000" w:rsidRDefault="00000000" w:rsidRPr="00000000" w14:paraId="00000002">
      <w:pPr>
        <w:spacing w:after="100" w:line="240" w:lineRule="auto"/>
        <w:ind w:right="-267"/>
        <w:jc w:val="center"/>
        <w:rPr>
          <w:b w:val="1"/>
          <w:sz w:val="40"/>
          <w:szCs w:val="40"/>
        </w:rPr>
      </w:pPr>
      <w:r w:rsidDel="00000000" w:rsidR="00000000" w:rsidRPr="00000000">
        <w:rPr>
          <w:b w:val="1"/>
          <w:sz w:val="40"/>
          <w:szCs w:val="40"/>
          <w:rtl w:val="0"/>
        </w:rPr>
        <w:t xml:space="preserve">123tinta.es se une al Black Friday con ofertas irresistibles</w:t>
      </w:r>
    </w:p>
    <w:p w:rsidR="00000000" w:rsidDel="00000000" w:rsidP="00000000" w:rsidRDefault="00000000" w:rsidRPr="00000000" w14:paraId="00000003">
      <w:pPr>
        <w:spacing w:after="100" w:line="240" w:lineRule="auto"/>
        <w:ind w:right="-267"/>
        <w:rPr>
          <w:b w:val="1"/>
          <w:sz w:val="24"/>
          <w:szCs w:val="24"/>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both"/>
        <w:rPr>
          <w:b w:val="1"/>
          <w:i w:val="1"/>
          <w:sz w:val="24"/>
          <w:szCs w:val="24"/>
        </w:rPr>
      </w:pPr>
      <w:r w:rsidDel="00000000" w:rsidR="00000000" w:rsidRPr="00000000">
        <w:rPr>
          <w:b w:val="1"/>
          <w:i w:val="1"/>
          <w:sz w:val="24"/>
          <w:szCs w:val="24"/>
          <w:rtl w:val="0"/>
        </w:rPr>
        <w:t xml:space="preserve">Desde el 18 de noviembre el ecommerce de cartuchos de tinta y toner ofrecerá descuentos en productos de la marca 123tinta y ¡más sorpresas!</w:t>
      </w: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b w:val="1"/>
          <w:sz w:val="24"/>
          <w:szCs w:val="24"/>
        </w:rPr>
        <w:drawing>
          <wp:inline distB="114300" distT="114300" distL="114300" distR="114300">
            <wp:extent cx="5399730" cy="1803400"/>
            <wp:effectExtent b="0" l="0" r="0" t="0"/>
            <wp:docPr id="4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973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color w:val="000000"/>
          <w:sz w:val="24"/>
          <w:szCs w:val="24"/>
          <w:rtl w:val="0"/>
        </w:rPr>
        <w:t xml:space="preserve">Madrid,</w:t>
      </w:r>
      <w:r w:rsidDel="00000000" w:rsidR="00000000" w:rsidRPr="00000000">
        <w:rPr>
          <w:b w:val="1"/>
          <w:sz w:val="24"/>
          <w:szCs w:val="24"/>
          <w:rtl w:val="0"/>
        </w:rPr>
        <w:t xml:space="preserve"> 4 de noviembre </w:t>
      </w:r>
      <w:r w:rsidDel="00000000" w:rsidR="00000000" w:rsidRPr="00000000">
        <w:rPr>
          <w:b w:val="1"/>
          <w:color w:val="000000"/>
          <w:sz w:val="24"/>
          <w:szCs w:val="24"/>
          <w:rtl w:val="0"/>
        </w:rPr>
        <w:t xml:space="preserve">de 202</w:t>
      </w:r>
      <w:r w:rsidDel="00000000" w:rsidR="00000000" w:rsidRPr="00000000">
        <w:rPr>
          <w:b w:val="1"/>
          <w:sz w:val="24"/>
          <w:szCs w:val="24"/>
          <w:rtl w:val="0"/>
        </w:rPr>
        <w:t xml:space="preserve">4</w:t>
      </w:r>
      <w:r w:rsidDel="00000000" w:rsidR="00000000" w:rsidRPr="00000000">
        <w:rPr>
          <w:b w:val="1"/>
          <w:color w:val="000000"/>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Un año m</w:t>
      </w:r>
      <w:r w:rsidDel="00000000" w:rsidR="00000000" w:rsidRPr="00000000">
        <w:rPr>
          <w:sz w:val="24"/>
          <w:szCs w:val="24"/>
          <w:rtl w:val="0"/>
        </w:rPr>
        <w:t xml:space="preserve">ás, </w:t>
      </w:r>
      <w:r w:rsidDel="00000000" w:rsidR="00000000" w:rsidRPr="00000000">
        <w:rPr>
          <w:sz w:val="24"/>
          <w:szCs w:val="24"/>
          <w:rtl w:val="0"/>
        </w:rPr>
        <w:t xml:space="preserve">123tinta</w:t>
      </w:r>
      <w:r w:rsidDel="00000000" w:rsidR="00000000" w:rsidRPr="00000000">
        <w:rPr>
          <w:sz w:val="24"/>
          <w:szCs w:val="24"/>
          <w:rtl w:val="0"/>
        </w:rPr>
        <w:t xml:space="preserve">.es</w:t>
      </w:r>
      <w:r w:rsidDel="00000000" w:rsidR="00000000" w:rsidRPr="00000000">
        <w:rPr>
          <w:color w:val="1f1f1f"/>
          <w:sz w:val="24"/>
          <w:szCs w:val="24"/>
          <w:rtl w:val="0"/>
        </w:rPr>
        <w:t xml:space="preserve">, el </w:t>
      </w:r>
      <w:r w:rsidDel="00000000" w:rsidR="00000000" w:rsidRPr="00000000">
        <w:rPr>
          <w:i w:val="1"/>
          <w:color w:val="1f1f1f"/>
          <w:sz w:val="24"/>
          <w:szCs w:val="24"/>
          <w:rtl w:val="0"/>
        </w:rPr>
        <w:t xml:space="preserve">ecommerce </w:t>
      </w:r>
      <w:r w:rsidDel="00000000" w:rsidR="00000000" w:rsidRPr="00000000">
        <w:rPr>
          <w:color w:val="1f1f1f"/>
          <w:sz w:val="24"/>
          <w:szCs w:val="24"/>
          <w:rtl w:val="0"/>
        </w:rPr>
        <w:t xml:space="preserve">de </w:t>
      </w:r>
      <w:hyperlink r:id="rId8">
        <w:r w:rsidDel="00000000" w:rsidR="00000000" w:rsidRPr="00000000">
          <w:rPr>
            <w:color w:val="1155cc"/>
            <w:sz w:val="24"/>
            <w:szCs w:val="24"/>
            <w:u w:val="single"/>
            <w:rtl w:val="0"/>
          </w:rPr>
          <w:t xml:space="preserve">cartuchos de impresoras</w:t>
        </w:r>
      </w:hyperlink>
      <w:r w:rsidDel="00000000" w:rsidR="00000000" w:rsidRPr="00000000">
        <w:rPr>
          <w:sz w:val="24"/>
          <w:szCs w:val="24"/>
          <w:rtl w:val="0"/>
        </w:rPr>
        <w:t xml:space="preserve"> y </w:t>
      </w:r>
      <w:hyperlink r:id="rId9">
        <w:r w:rsidDel="00000000" w:rsidR="00000000" w:rsidRPr="00000000">
          <w:rPr>
            <w:color w:val="1155cc"/>
            <w:sz w:val="24"/>
            <w:szCs w:val="24"/>
            <w:u w:val="single"/>
            <w:rtl w:val="0"/>
          </w:rPr>
          <w:t xml:space="preserve">toners</w:t>
        </w:r>
      </w:hyperlink>
      <w:r w:rsidDel="00000000" w:rsidR="00000000" w:rsidRPr="00000000">
        <w:rPr>
          <w:sz w:val="24"/>
          <w:szCs w:val="24"/>
          <w:rtl w:val="0"/>
        </w:rPr>
        <w:t xml:space="preserve">,</w:t>
      </w:r>
      <w:r w:rsidDel="00000000" w:rsidR="00000000" w:rsidRPr="00000000">
        <w:rPr>
          <w:sz w:val="24"/>
          <w:szCs w:val="24"/>
          <w:rtl w:val="0"/>
        </w:rPr>
        <w:t xml:space="preserve"> se adelanta al Black Friday con descuentos en productos de su marca propia desde el 18 de noviembre. </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Aunque el Black Friday se originó en Estados Unidos, hoy en día se ha convertido en uno de los momentos más esperados por los consumidores a nivel mundial. Celebrado el último viernes de noviembre, marca el punto de partida de la temporada de compras navideñas con grandes descuentos. Cada vez más tiendas aprovechan esta fecha para ofrecer promociones especiales y atraer a los compradores que buscan adelantarse a las compras de navidad y conseguir mejores precios.</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Así, 123tinta.es se anticipa a la fecha oficial del Black Friday, que este año tendrá lugar el 29 de noviembre, y ofrece descuentos desde dos semanas antes.</w:t>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Descuentos prolongados con el Cyber Monday </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Otra fecha a la que se suma </w:t>
      </w:r>
      <w:r w:rsidDel="00000000" w:rsidR="00000000" w:rsidRPr="00000000">
        <w:rPr>
          <w:sz w:val="24"/>
          <w:szCs w:val="24"/>
          <w:rtl w:val="0"/>
        </w:rPr>
        <w:t xml:space="preserve">123tinta </w:t>
      </w:r>
      <w:r w:rsidDel="00000000" w:rsidR="00000000" w:rsidRPr="00000000">
        <w:rPr>
          <w:sz w:val="24"/>
          <w:szCs w:val="24"/>
          <w:rtl w:val="0"/>
        </w:rPr>
        <w:t xml:space="preserve">es el cada vez más popular Cyber Monday, que marca el broche final de esta campaña, con descuentos sorpresa se anunciarán el mismo 29 de noviembre. De esta manera, el ecommerce busca ayudar a las empresas y a los hogares a adquirir productos esenciales a precios inigualables. Los clientes pueden acceder a través de su web a las ofertas en una amplia gama de productos. </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Como fabricantes de tinta y toner, la compañía ofrece los productos más innovadores con la mejor calidad del mercado a un precio imbatible, y que serán aún más atractivos con las promociones de estas semanas. Pero no solo eso, su amplio catálogo incluye productos como etiquetas y cintas, material de oficina, luces y mucho más.</w:t>
      </w:r>
    </w:p>
    <w:p w:rsidR="00000000" w:rsidDel="00000000" w:rsidP="00000000" w:rsidRDefault="00000000" w:rsidRPr="00000000" w14:paraId="0000000C">
      <w:pPr>
        <w:jc w:val="both"/>
        <w:rPr>
          <w:b w:val="1"/>
          <w:sz w:val="24"/>
          <w:szCs w:val="24"/>
        </w:rPr>
      </w:pPr>
      <w:r w:rsidDel="00000000" w:rsidR="00000000" w:rsidRPr="00000000">
        <w:rPr>
          <w:rtl w:val="0"/>
        </w:rPr>
      </w:r>
    </w:p>
    <w:p w:rsidR="00000000" w:rsidDel="00000000" w:rsidP="00000000" w:rsidRDefault="00000000" w:rsidRPr="00000000" w14:paraId="0000000D">
      <w:pPr>
        <w:jc w:val="both"/>
        <w:rPr>
          <w:b w:val="1"/>
          <w:i w:val="1"/>
          <w:sz w:val="20"/>
          <w:szCs w:val="20"/>
          <w:u w:val="single"/>
        </w:rPr>
      </w:pPr>
      <w:r w:rsidDel="00000000" w:rsidR="00000000" w:rsidRPr="00000000">
        <w:rPr>
          <w:b w:val="1"/>
          <w:i w:val="1"/>
          <w:sz w:val="20"/>
          <w:szCs w:val="20"/>
          <w:u w:val="single"/>
          <w:rtl w:val="0"/>
        </w:rPr>
        <w:t xml:space="preserve">Sobre 123tinta.es</w:t>
      </w:r>
    </w:p>
    <w:p w:rsidR="00000000" w:rsidDel="00000000" w:rsidP="00000000" w:rsidRDefault="00000000" w:rsidRPr="00000000" w14:paraId="0000000E">
      <w:pPr>
        <w:jc w:val="both"/>
        <w:rPr/>
      </w:pPr>
      <w:r w:rsidDel="00000000" w:rsidR="00000000" w:rsidRPr="00000000">
        <w:rPr>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0F">
      <w:pPr>
        <w:jc w:val="both"/>
        <w:rPr/>
      </w:pPr>
      <w:r w:rsidDel="00000000" w:rsidR="00000000" w:rsidRPr="00000000">
        <w:rPr>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spacing w:after="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2">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3">
      <w:pPr>
        <w:spacing w:after="0" w:line="240" w:lineRule="auto"/>
        <w:jc w:val="both"/>
        <w:rPr>
          <w:sz w:val="20"/>
          <w:szCs w:val="20"/>
        </w:rPr>
      </w:pPr>
      <w:r w:rsidDel="00000000" w:rsidR="00000000" w:rsidRPr="00000000">
        <w:rPr>
          <w:sz w:val="20"/>
          <w:szCs w:val="20"/>
          <w:rtl w:val="0"/>
        </w:rPr>
        <w:t xml:space="preserve">Irati Miguel – </w:t>
      </w:r>
      <w:hyperlink r:id="rId10">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14">
      <w:pPr>
        <w:spacing w:after="0" w:line="240" w:lineRule="auto"/>
        <w:jc w:val="both"/>
        <w:rPr/>
      </w:pPr>
      <w:r w:rsidDel="00000000" w:rsidR="00000000" w:rsidRPr="00000000">
        <w:rPr>
          <w:sz w:val="20"/>
          <w:szCs w:val="20"/>
          <w:rtl w:val="0"/>
        </w:rPr>
        <w:t xml:space="preserve">Telf.  91 302 28 30 - Mov. 692 075 701</w:t>
      </w:r>
      <w:r w:rsidDel="00000000" w:rsidR="00000000" w:rsidRPr="00000000">
        <w:rPr>
          <w:rtl w:val="0"/>
        </w:rPr>
      </w:r>
    </w:p>
    <w:sectPr>
      <w:headerReference r:id="rId11" w:type="default"/>
      <w:footerReference r:id="rId12"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-92063</wp:posOffset>
          </wp:positionV>
          <wp:extent cx="1377315" cy="594995"/>
          <wp:effectExtent b="0" l="0" r="0" t="0"/>
          <wp:wrapSquare wrapText="bothSides" distB="0" distT="0" distL="114300" distR="114300"/>
          <wp:docPr descr="Z:\Actitud de Comunicacion\CLIENTES\CLIENTES\123 TINTA\123tinta.es-RGB.png" id="42"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character" w:styleId="Ttulo2Car" w:customStyle="1">
    <w:name w:val="Título 2 Car"/>
    <w:basedOn w:val="Fuentedeprrafopredeter"/>
    <w:link w:val="Ttulo2"/>
    <w:uiPriority w:val="9"/>
    <w:rsid w:val="00E11B5A"/>
    <w:rPr>
      <w:b w:val="1"/>
      <w:sz w:val="36"/>
      <w:szCs w:val="36"/>
    </w:rPr>
  </w:style>
  <w:style w:type="character" w:styleId="Mencinsinresolver">
    <w:name w:val="Unresolved Mention"/>
    <w:basedOn w:val="Fuentedeprrafopredeter"/>
    <w:uiPriority w:val="99"/>
    <w:semiHidden w:val="1"/>
    <w:unhideWhenUsed w:val="1"/>
    <w:rsid w:val="00965FC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rati.miguel@actitud.es" TargetMode="External"/><Relationship Id="rId12" Type="http://schemas.openxmlformats.org/officeDocument/2006/relationships/footer" Target="footer1.xml"/><Relationship Id="rId9" Type="http://schemas.openxmlformats.org/officeDocument/2006/relationships/hyperlink" Target="https://www.123tinta.es/Toner-impresoras-laser-p4016.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123tinta.es/Cartuchos-de-tinta-p1.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GttBaTMZoiea2pDfzWK3LwcjQ==">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2023-05-30T07:58:00Z</dcterms:created>
  <dc:creator>actitud</dc:creator>
</cp:coreProperties>
</file>